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Vocabulary Unit 6 Part 7</w:t>
      </w:r>
    </w:p>
    <w:p>
      <w:pPr>
        <w:pStyle w:val="Subject"/>
        <w:bidi w:val="0"/>
      </w:pPr>
      <w:r>
        <w:rPr>
          <w:rtl w:val="0"/>
        </w:rPr>
        <w:t>Chapter 26 Social Structures, 1900 to present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BRIC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equal political rights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white collar class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blue collar class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middle class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minimum standard of living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trade unions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mass transit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urbanization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consumerism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new class</w:t>
      </w:r>
      <w:r>
        <w:rPr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north-south split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Social activism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racial equality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civil rights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Jim Crow Laws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Antiapartheid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1968 protests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liberation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solidarity strikes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segregation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Martin Luther King Jr.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Civil Rights Acts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Xenophobia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displacement person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skinhead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suffragist movement</w:t>
      </w:r>
    </w:p>
    <w:p>
      <w:pPr>
        <w:pStyle w:val="Subject"/>
        <w:bidi w:val="0"/>
      </w:pPr>
      <w:r>
        <w:rPr>
          <w:rtl w:val="0"/>
        </w:rPr>
        <w:t>Chapter 27 Humans and the Environment 1900 to Present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environmental impact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population growth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resource extraction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consumption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pollution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species extinction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global warming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climate change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vaccination campaigns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Spanish Flu</w:t>
      </w:r>
      <w:r>
        <w:rPr>
          <w:rtl w:val="0"/>
          <w:lang w:val="en-US"/>
        </w:rPr>
        <w:t>”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Ebola virus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diabetes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heart disease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obesity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Alzheimer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disease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John Muir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Silent Spring by Rachel Carson (what is it about)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Green Belt Movement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NGO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Climate Change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Green parties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Green Revolution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Famine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Aswan High Dam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Three Gorges Dam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pollution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environmental disasters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ozone layer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reliance on fossil fuels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Chernobyl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Global Warming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Kyoto Protocol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Tuesday, April 5, 2016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